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7965">
      <w:pPr>
        <w:pStyle w:val="3"/>
        <w:widowControl/>
        <w:shd w:val="clear" w:color="auto" w:fill="FFFFFF"/>
        <w:spacing w:before="180" w:beforeAutospacing="0" w:after="60" w:afterAutospacing="0" w:line="330" w:lineRule="atLeast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shd w:val="clear" w:color="auto" w:fill="FFFFFF"/>
        </w:rPr>
        <w:t>：</w:t>
      </w:r>
    </w:p>
    <w:p w14:paraId="4A470AEE">
      <w:pPr>
        <w:pStyle w:val="3"/>
        <w:widowControl/>
        <w:shd w:val="clear" w:color="auto" w:fill="FFFFFF"/>
        <w:spacing w:before="180" w:beforeAutospacing="0" w:after="60" w:afterAutospacing="0" w:line="33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</w:rPr>
        <w:t>云南特殊教育职业学院2025-2027学年</w:t>
      </w:r>
    </w:p>
    <w:p w14:paraId="3DFE7982">
      <w:pPr>
        <w:pStyle w:val="3"/>
        <w:widowControl/>
        <w:shd w:val="clear" w:color="auto" w:fill="FFFFFF"/>
        <w:spacing w:before="180" w:beforeAutospacing="0" w:after="60" w:afterAutospacing="0" w:line="33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</w:rPr>
        <w:t>保险经纪公司遴选项目综合评分表</w:t>
      </w:r>
    </w:p>
    <w:p w14:paraId="49199C3F">
      <w:pPr>
        <w:pStyle w:val="2"/>
        <w:widowControl/>
        <w:shd w:val="clear" w:color="auto" w:fill="FFFFFF"/>
        <w:spacing w:before="180" w:beforeAutospacing="0" w:after="60" w:afterAutospacing="0" w:line="330" w:lineRule="atLeast"/>
        <w:textAlignment w:val="baseline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sz w:val="24"/>
          <w:szCs w:val="24"/>
          <w:shd w:val="clear" w:color="auto" w:fill="FFFFFF"/>
        </w:rPr>
        <w:t>一、评分维度与权重</w:t>
      </w:r>
      <w:r>
        <w:rPr>
          <w:rStyle w:val="8"/>
          <w:rFonts w:ascii="Segoe UI" w:hAnsi="Segoe UI" w:cs="Segoe UI"/>
          <w:b/>
          <w:sz w:val="24"/>
          <w:szCs w:val="24"/>
          <w:shd w:val="clear" w:color="auto" w:fill="FFFFFF"/>
        </w:rPr>
        <w:t>（100分）</w:t>
      </w:r>
      <w:r>
        <w:rPr>
          <w:rStyle w:val="8"/>
          <w:rFonts w:hint="default" w:ascii="Segoe UI" w:hAnsi="Segoe UI" w:eastAsia="Segoe UI" w:cs="Segoe UI"/>
          <w:b/>
          <w:sz w:val="24"/>
          <w:szCs w:val="24"/>
          <w:shd w:val="clear" w:color="auto" w:fill="FFFFFF"/>
        </w:rPr>
        <w:t>​</w:t>
      </w:r>
      <w:r>
        <w:rPr>
          <w:rFonts w:hint="default" w:ascii="Segoe UI" w:hAnsi="Segoe UI" w:eastAsia="Segoe UI" w:cs="Segoe UI"/>
          <w:sz w:val="24"/>
          <w:szCs w:val="24"/>
          <w:shd w:val="clear" w:color="auto" w:fill="FFFFFF"/>
        </w:rPr>
        <w:t>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31"/>
        <w:gridCol w:w="4440"/>
        <w:gridCol w:w="1237"/>
        <w:gridCol w:w="695"/>
      </w:tblGrid>
      <w:tr w14:paraId="24D0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tblHeader/>
        </w:trPr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9EE551D">
            <w:pPr>
              <w:widowControl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b/>
                <w:bCs/>
                <w:sz w:val="24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评分项目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6599408">
            <w:pPr>
              <w:widowControl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b/>
                <w:bCs/>
                <w:sz w:val="24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权重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865782">
            <w:pPr>
              <w:widowControl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hint="eastAsia" w:ascii="方正仿宋_GBK" w:hAnsi="方正仿宋_GBK" w:eastAsia="方正仿宋_GBK" w:cs="方正仿宋_GBK"/>
                <w:bCs/>
                <w:kern w:val="0"/>
                <w:sz w:val="24"/>
                <w:lang w:bidi="ar"/>
              </w:rPr>
              <w:t>评分标准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459333C">
            <w:pPr>
              <w:widowControl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b/>
                <w:bCs/>
                <w:sz w:val="24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得分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3B1D086">
            <w:pPr>
              <w:widowControl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b/>
                <w:bCs/>
                <w:sz w:val="24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备注</w:t>
            </w: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​</w:t>
            </w:r>
          </w:p>
        </w:tc>
      </w:tr>
      <w:tr w14:paraId="0465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1C8E24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1.承保服务方案及承保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能力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64C007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eastAsia="方正仿宋_GBK"/>
                <w:bCs/>
              </w:rPr>
              <w:t>20%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6A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制定确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项目承保服务方案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，包括但不限于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承保专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岗人员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承保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出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单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时效、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费收取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式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及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收取时效、创新技术运用等内容，根据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可行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进行打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 xml:space="preserve"> </w:t>
            </w:r>
          </w:p>
          <w:p w14:paraId="64481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、条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清晰、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、可行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强：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15--20 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3D2C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2.方案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编制一般、条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较为清晰、可行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一般、针对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一般：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8--14 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2802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3.方案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编制较差、条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差、可行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差、针对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差，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编制有缺漏或无时效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承诺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的：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1--7分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E8F4C09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101F4B7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  <w:tr w14:paraId="2692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8" w:hRule="atLeast"/>
        </w:trPr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3AF9216">
            <w:pPr>
              <w:widowControl/>
              <w:jc w:val="center"/>
              <w:textAlignment w:val="center"/>
              <w:rPr>
                <w:rStyle w:val="8"/>
                <w:rFonts w:hint="eastAsia" w:ascii="方正仿宋_GBK" w:hAnsi="方正仿宋_GB2312" w:eastAsia="方正仿宋_GBK" w:cs="方正仿宋_GB2312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val="en-US" w:eastAsia="zh-CN" w:bidi="ar"/>
              </w:rPr>
              <w:t>2.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理赔服务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val="en-US" w:eastAsia="zh-CN" w:bidi="ar"/>
              </w:rPr>
              <w:t>方案及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应急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审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评分</w:t>
            </w:r>
          </w:p>
          <w:p w14:paraId="341FD9DA"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ascii="Times New Roman" w:hAnsi="Times New Roman" w:eastAsia="方正仿宋_GBK" w:cs="Times New Roman"/>
                <w:bCs/>
              </w:rPr>
              <w:t>​</w:t>
            </w:r>
          </w:p>
          <w:p w14:paraId="083EBFD8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ascii="Times New Roman" w:hAnsi="Times New Roman" w:eastAsia="方正仿宋_GBK" w:cs="Times New Roman"/>
                <w:bCs/>
                <w:kern w:val="0"/>
                <w:sz w:val="24"/>
                <w:lang w:bidi="ar"/>
              </w:rPr>
              <w:t>​​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9D85C8C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eastAsia="方正仿宋_GBK"/>
                <w:bCs/>
                <w:kern w:val="0"/>
                <w:lang w:val="en-US" w:eastAsia="zh-CN" w:bidi="ar"/>
              </w:rPr>
              <w:t>4</w:t>
            </w:r>
            <w:r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  <w:t>0%</w:t>
            </w:r>
          </w:p>
          <w:p w14:paraId="15A6F949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B63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包括但不限于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理赔专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岗人员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置、接报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电话设置、查勘时效、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赔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款时效、创新技术运用、相关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验等：</w:t>
            </w:r>
          </w:p>
          <w:p w14:paraId="4067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内容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、条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清晰、可行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强、针对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强的：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15--20分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 xml:space="preserve"> </w:t>
            </w:r>
          </w:p>
          <w:p w14:paraId="5651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2.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内容相对简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单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不强：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8--14分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3FCBE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3.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包括但不限于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理赔专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岗人员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置、接报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电话设置、查勘时效、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赔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款时效、创新技术运用等内容，内容有缺漏，针对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差：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1--7分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 xml:space="preserve"> </w:t>
            </w:r>
          </w:p>
          <w:p w14:paraId="7901D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应急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val="en-US" w:eastAsia="zh-CN" w:bidi="ar"/>
              </w:rPr>
              <w:t>方面：</w:t>
            </w:r>
          </w:p>
          <w:p w14:paraId="70908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1.应急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考虑全面，编制科学，针对本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特点能提出切实可行的解决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 xml:space="preserve"> 15--20分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3428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2.应急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，但不够全面，针对本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特点能提出相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应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解决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8--14分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1BC9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3.应急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编制一般，部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分项目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内容编制较差，基本可行：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1--7分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D0FE02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C22114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  <w:tr w14:paraId="5CF9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FCB4467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val="en-US" w:eastAsia="zh-CN" w:bidi="ar"/>
              </w:rPr>
              <w:t>3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.服务团队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价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DB9B198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eastAsia="方正仿宋_GBK"/>
                <w:bCs/>
              </w:rPr>
              <w:t>15%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4C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拟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投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入本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审：对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格（持证情况）、工作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历等综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素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质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以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及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专业配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等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面进行综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价。</w:t>
            </w:r>
          </w:p>
          <w:p w14:paraId="2CBE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素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质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优、相关人员岗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职责明确、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验好、持证上岗的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得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11-15分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1299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2.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置基本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素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质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良好、相关人员岗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职责基本明确、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验一般的，持证上岗的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得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6-10分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3453D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3.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置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合理性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较差，综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素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质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较差、相关人员岗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职责不明确、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验较差、但持证上岗的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得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0--5分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6727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Style w:val="8"/>
                <w:rFonts w:hint="eastAsia" w:ascii="方正仿宋_GBK" w:eastAsia="方正仿宋_GBK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注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服务团队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人员须为本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单位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或联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体成员各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的人员，以提供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服务团队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人员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与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单位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自签订的劳动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同、社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缴纳、证件、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及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相关从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业经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验证明等相关证明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料扫描件作为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评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审依据。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8FCC59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69212C9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  <w:tr w14:paraId="5BE1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2B8C5B3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val="en-US" w:eastAsia="zh-CN" w:bidi="ar"/>
              </w:rPr>
              <w:t>4.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针对本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所提出的优惠条件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79E5FB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  <w:r>
              <w:rPr>
                <w:rStyle w:val="8"/>
                <w:rFonts w:hint="eastAsia" w:ascii="方正仿宋_GBK" w:eastAsia="方正仿宋_GBK"/>
                <w:bCs/>
              </w:rPr>
              <w:t>15%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4F4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针对各磋商申请人所能提供的更加有利于本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项目投保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、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理赔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等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保险服务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要求的优惠条件、增值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等进行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评分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</w:p>
          <w:p w14:paraId="5D54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具有高于采购需求的优惠条件、增值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，且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方案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最优的：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11--15分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07C4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2.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具有采购需求的优惠条件、增值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bCs/>
                <w:kern w:val="0"/>
                <w:sz w:val="24"/>
                <w:lang w:bidi="ar"/>
              </w:rPr>
              <w:t>服务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6---10分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  <w:p w14:paraId="2177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3.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其余：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0--5分</w:t>
            </w:r>
            <w:r>
              <w:rPr>
                <w:rStyle w:val="8"/>
                <w:rFonts w:hint="eastAsia" w:ascii="方正仿宋_GBK" w:hAnsi="宋体" w:eastAsia="方正仿宋_GBK" w:cs="宋体"/>
                <w:bCs/>
                <w:kern w:val="0"/>
                <w:sz w:val="24"/>
                <w:lang w:bidi="ar"/>
              </w:rPr>
              <w:t>；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4AF620A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74D052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  <w:tr w14:paraId="6F5C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63EF4C">
            <w:pPr>
              <w:widowControl/>
              <w:jc w:val="center"/>
              <w:textAlignment w:val="center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kern w:val="0"/>
                <w:sz w:val="24"/>
                <w:szCs w:val="24"/>
                <w:lang w:bidi="ar"/>
              </w:rPr>
              <w:t>类似业绩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7DFF686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</w:rPr>
            </w:pPr>
            <w:r>
              <w:rPr>
                <w:rStyle w:val="8"/>
                <w:rFonts w:hint="eastAsia" w:ascii="方正仿宋_GBK" w:eastAsia="方正仿宋_GBK"/>
                <w:bCs/>
              </w:rPr>
              <w:t>10%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601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提供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kern w:val="0"/>
                <w:sz w:val="24"/>
                <w:lang w:bidi="ar"/>
              </w:rPr>
              <w:t xml:space="preserve"> 2021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年至今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服务类似业绩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，一个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类似项目业绩得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kern w:val="0"/>
                <w:sz w:val="24"/>
                <w:lang w:bidi="ar"/>
              </w:rPr>
              <w:t>2分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，以此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类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推，最多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得</w:t>
            </w:r>
            <w:r>
              <w:rPr>
                <w:rStyle w:val="8"/>
                <w:rFonts w:hint="eastAsia" w:ascii="方正仿宋_GBK" w:hAnsi="方正仿宋_GB2312" w:eastAsia="方正仿宋_GBK" w:cs="方正仿宋_GB2312"/>
                <w:kern w:val="0"/>
                <w:sz w:val="24"/>
                <w:lang w:bidi="ar"/>
              </w:rPr>
              <w:t>10分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（提供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合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同或中</w:t>
            </w:r>
            <w:r>
              <w:rPr>
                <w:rStyle w:val="8"/>
                <w:rFonts w:hint="eastAsia" w:ascii="方正仿宋_GBK" w:hAnsi="___WRD_EMBED_SUB_47" w:eastAsia="方正仿宋_GBK" w:cs="___WRD_EMBED_SUB_47"/>
                <w:kern w:val="0"/>
                <w:sz w:val="24"/>
                <w:lang w:bidi="ar"/>
              </w:rPr>
              <w:t>标</w:t>
            </w:r>
            <w:r>
              <w:rPr>
                <w:rStyle w:val="8"/>
                <w:rFonts w:hint="eastAsia" w:ascii="方正仿宋_GBK" w:hAnsi="宋体" w:eastAsia="方正仿宋_GBK" w:cs="宋体"/>
                <w:kern w:val="0"/>
                <w:sz w:val="24"/>
                <w:lang w:bidi="ar"/>
              </w:rPr>
              <w:t>通知书复印件或其他证明材料复印件）。</w:t>
            </w: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A884000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0BFFB1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  <w:tr w14:paraId="4DF8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64D4E17">
            <w:pPr>
              <w:widowControl/>
              <w:jc w:val="center"/>
              <w:textAlignment w:val="center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  <w:r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93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524BDAC">
            <w:pPr>
              <w:widowControl/>
              <w:jc w:val="center"/>
              <w:textAlignment w:val="center"/>
              <w:rPr>
                <w:rStyle w:val="8"/>
                <w:rFonts w:hint="eastAsia" w:ascii="方正仿宋_GBK" w:eastAsia="方正仿宋_GBK"/>
                <w:bCs/>
              </w:rPr>
            </w:pPr>
            <w:r>
              <w:rPr>
                <w:rStyle w:val="8"/>
                <w:rFonts w:hint="eastAsia" w:ascii="方正仿宋_GBK" w:eastAsia="方正仿宋_GBK"/>
                <w:bCs/>
              </w:rPr>
              <w:t>100%</w:t>
            </w:r>
          </w:p>
        </w:tc>
        <w:tc>
          <w:tcPr>
            <w:tcW w:w="444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FD62CEF">
            <w:pPr>
              <w:widowControl/>
              <w:jc w:val="center"/>
              <w:textAlignment w:val="center"/>
              <w:rPr>
                <w:rStyle w:val="8"/>
                <w:rFonts w:hint="eastAsia" w:ascii="方正仿宋_GBK" w:hAnsi="方正仿宋_GB2312" w:eastAsia="方正仿宋_GBK" w:cs="方正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7A9FDDB">
            <w:pPr>
              <w:jc w:val="center"/>
              <w:rPr>
                <w:rStyle w:val="8"/>
                <w:rFonts w:hint="eastAsia" w:ascii="方正仿宋_GBK" w:eastAsia="方正仿宋_GBK"/>
                <w:bCs/>
                <w:kern w:val="0"/>
                <w:lang w:bidi="ar"/>
              </w:rPr>
            </w:pPr>
          </w:p>
        </w:tc>
        <w:tc>
          <w:tcPr>
            <w:tcW w:w="69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537917">
            <w:pPr>
              <w:jc w:val="center"/>
              <w:rPr>
                <w:rFonts w:hint="eastAsia" w:ascii="方正仿宋_GBK" w:hAnsi="方正仿宋_GB2312" w:eastAsia="方正仿宋_GBK" w:cs="方正仿宋_GB2312"/>
                <w:sz w:val="24"/>
              </w:rPr>
            </w:pPr>
          </w:p>
        </w:tc>
      </w:tr>
    </w:tbl>
    <w:p w14:paraId="1AB63483">
      <w:pPr>
        <w:pStyle w:val="4"/>
        <w:ind w:left="0" w:leftChars="0" w:firstLine="0" w:firstLineChars="0"/>
        <w:rPr>
          <w:sz w:val="24"/>
        </w:rPr>
      </w:pPr>
    </w:p>
    <w:p w14:paraId="37F5F5FF">
      <w:pPr>
        <w:widowControl/>
        <w:shd w:val="clear" w:color="auto" w:fill="FFFFFF"/>
        <w:spacing w:before="300" w:after="300"/>
        <w:rPr>
          <w:sz w:val="24"/>
        </w:rPr>
      </w:pPr>
    </w:p>
    <w:p w14:paraId="70B918EF">
      <w:pPr>
        <w:widowControl/>
        <w:shd w:val="clear" w:color="auto" w:fill="FFFFFF"/>
        <w:spacing w:before="300" w:after="300"/>
        <w:rPr>
          <w:sz w:val="24"/>
        </w:rPr>
      </w:pPr>
    </w:p>
    <w:p w14:paraId="7D218253">
      <w:pPr>
        <w:widowControl/>
        <w:shd w:val="clear" w:color="auto" w:fill="FFFFFF"/>
        <w:spacing w:before="300" w:after="300"/>
        <w:rPr>
          <w:sz w:val="24"/>
        </w:rPr>
      </w:pPr>
    </w:p>
    <w:p w14:paraId="1977B570">
      <w:pPr>
        <w:widowControl/>
        <w:shd w:val="clear" w:color="auto" w:fill="FFFFFF"/>
        <w:spacing w:before="300" w:after="300"/>
        <w:rPr>
          <w:rFonts w:ascii="Segoe UI" w:hAnsi="Segoe UI" w:eastAsia="Segoe UI" w:cs="Segoe UI"/>
          <w:sz w:val="24"/>
        </w:rPr>
      </w:pPr>
      <w:r>
        <w:rPr>
          <w:sz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6"/>
        <w:tblpPr w:leftFromText="180" w:rightFromText="180" w:vertAnchor="text" w:horzAnchor="page" w:tblpX="1894" w:tblpY="8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1922"/>
        <w:gridCol w:w="1922"/>
        <w:gridCol w:w="1922"/>
      </w:tblGrid>
      <w:tr w14:paraId="1F95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tblHeader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7417B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​投标单位​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B949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​总分​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64EA0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​排名​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F8821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​备注​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bidi="ar"/>
              </w:rPr>
              <w:t>​</w:t>
            </w:r>
          </w:p>
        </w:tc>
      </w:tr>
      <w:tr w14:paraId="4098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18240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D6644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BFB9F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96751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9BC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6029C3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7911C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68853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BF4AC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145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352FD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5BF76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277D23C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D99A892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EF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00CB18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0AE39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0933823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7172311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5F51C7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baseline"/>
      </w:pPr>
      <w:r>
        <w:rPr>
          <w:rFonts w:hint="default" w:ascii="Segoe UI" w:hAnsi="Segoe UI" w:eastAsia="Segoe UI" w:cs="Segoe UI"/>
          <w:sz w:val="24"/>
          <w:szCs w:val="24"/>
          <w:shd w:val="clear" w:color="auto" w:fill="FFFFFF"/>
        </w:rPr>
        <w:t>​</w:t>
      </w:r>
      <w:r>
        <w:rPr>
          <w:rStyle w:val="8"/>
          <w:rFonts w:hint="default" w:ascii="Segoe UI" w:hAnsi="Segoe UI" w:eastAsia="Segoe UI" w:cs="Segoe UI"/>
          <w:b/>
          <w:sz w:val="24"/>
          <w:szCs w:val="24"/>
          <w:shd w:val="clear" w:color="auto" w:fill="FFFFFF"/>
        </w:rPr>
        <w:t>​二、评分表​</w:t>
      </w:r>
      <w:r>
        <w:rPr>
          <w:rFonts w:hint="default" w:ascii="Segoe UI" w:hAnsi="Segoe UI" w:eastAsia="Segoe UI" w:cs="Segoe UI"/>
          <w:sz w:val="24"/>
          <w:szCs w:val="24"/>
          <w:shd w:val="clear" w:color="auto" w:fill="FFFFFF"/>
        </w:rPr>
        <w:t>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8F1CB97-F326-4680-80D0-500E1173B0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2" w:fontKey="{D628607E-B0FD-49DA-A7BE-B6F6779711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0EECCE-333A-4CC4-99C8-E3EC9B08255F}"/>
  </w:font>
  <w:font w:name="___WRD_EMBED_SUB_47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E3BD6D-3285-4A4C-A7D1-C67D39076E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9B19798-A365-401F-8742-EE500A3D4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6A57"/>
    <w:rsid w:val="0005393F"/>
    <w:rsid w:val="00114709"/>
    <w:rsid w:val="001D2CB4"/>
    <w:rsid w:val="006506F5"/>
    <w:rsid w:val="009E563C"/>
    <w:rsid w:val="081B18C6"/>
    <w:rsid w:val="0FA36690"/>
    <w:rsid w:val="134B60D2"/>
    <w:rsid w:val="1BE83DD7"/>
    <w:rsid w:val="2F0352A0"/>
    <w:rsid w:val="3D820851"/>
    <w:rsid w:val="3F9A6259"/>
    <w:rsid w:val="40186775"/>
    <w:rsid w:val="49185912"/>
    <w:rsid w:val="65742ABD"/>
    <w:rsid w:val="65C14009"/>
    <w:rsid w:val="674D7A09"/>
    <w:rsid w:val="68F02638"/>
    <w:rsid w:val="6FFE5F86"/>
    <w:rsid w:val="740D1C1E"/>
    <w:rsid w:val="76F27835"/>
    <w:rsid w:val="773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1034</Words>
  <Characters>1159</Characters>
  <Lines>9</Lines>
  <Paragraphs>2</Paragraphs>
  <TotalTime>4</TotalTime>
  <ScaleCrop>false</ScaleCrop>
  <LinksUpToDate>false</LinksUpToDate>
  <CharactersWithSpaces>1166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2025-04-25T02:29:00Z</dcterms:created>
  <dc:creator>控制</dc:creator>
  <cp:lastModifiedBy>蒋旭</cp:lastModifiedBy>
  <cp:lastPrinted>2025-05-06T06:35:00Z</cp:lastPrinted>
  <dcterms:modified xsi:type="dcterms:W3CDTF">2025-05-19T01:33:39Z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B9B50479DD274AC8AC0C6FEC156467F0_13</vt:lpwstr>
  </property>
  <property fmtid="{D5CDD505-2E9C-101B-9397-08002B2CF9AE}" pid="4" name="KSOTemplateDocerSaveRecord">
    <vt:lpwstr>eyJoZGlkIjoiNjA4MmE3OGRiZWUyYmQ3MzM3MzE2MDViMDI4MWJiNDgiLCJ1c2VySWQiOiIxNjk3MjE2NDgyIn0=</vt:lpwstr>
  </property>
</Properties>
</file>